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D5786" w14:textId="77777777" w:rsidR="00D23991" w:rsidRDefault="00D23991" w:rsidP="00D23991">
      <w:pPr>
        <w:spacing w:line="480" w:lineRule="auto"/>
        <w:jc w:val="center"/>
        <w:rPr>
          <w:iCs/>
        </w:rPr>
      </w:pPr>
      <w:r>
        <w:rPr>
          <w:iCs/>
        </w:rPr>
        <w:t xml:space="preserve">Supplementary appendix </w:t>
      </w:r>
    </w:p>
    <w:p w14:paraId="02937092" w14:textId="77777777" w:rsidR="00D23991" w:rsidRDefault="00D23991" w:rsidP="00D23991">
      <w:pPr>
        <w:spacing w:line="480" w:lineRule="auto"/>
        <w:rPr>
          <w:i/>
        </w:rPr>
      </w:pPr>
    </w:p>
    <w:p w14:paraId="1FB44705" w14:textId="224AB1C3" w:rsidR="00B80E1C" w:rsidRPr="00873C1B" w:rsidRDefault="00B80E1C" w:rsidP="00B80E1C">
      <w:pPr>
        <w:contextualSpacing/>
      </w:pPr>
      <w:r>
        <w:rPr>
          <w:i/>
        </w:rPr>
        <w:t>Supplementary</w:t>
      </w:r>
      <w:r w:rsidRPr="00E80700">
        <w:rPr>
          <w:i/>
        </w:rPr>
        <w:t xml:space="preserve"> </w:t>
      </w:r>
      <w:r>
        <w:rPr>
          <w:i/>
        </w:rPr>
        <w:t xml:space="preserve">Figure </w:t>
      </w:r>
      <w:r w:rsidR="008A2131">
        <w:rPr>
          <w:i/>
        </w:rPr>
        <w:t>1</w:t>
      </w:r>
      <w:r w:rsidRPr="00E80700">
        <w:rPr>
          <w:i/>
        </w:rPr>
        <w:t>:</w:t>
      </w:r>
      <w:r w:rsidRPr="007A4AE9">
        <w:rPr>
          <w:sz w:val="20"/>
          <w:szCs w:val="20"/>
        </w:rPr>
        <w:t xml:space="preserve"> </w:t>
      </w:r>
      <w:r w:rsidRPr="00873C1B">
        <w:t>Flowchart of the study procedure. USZ=University hospital of Zurich (study cente</w:t>
      </w:r>
      <w:r>
        <w:t>r</w:t>
      </w:r>
      <w:r w:rsidRPr="00873C1B">
        <w:t xml:space="preserve"> 1), KSW=</w:t>
      </w:r>
      <w:proofErr w:type="spellStart"/>
      <w:r w:rsidRPr="00873C1B">
        <w:t>Kantonsspital</w:t>
      </w:r>
      <w:proofErr w:type="spellEnd"/>
      <w:r w:rsidRPr="00873C1B">
        <w:t xml:space="preserve"> Winterthur (study cente</w:t>
      </w:r>
      <w:r>
        <w:t>r</w:t>
      </w:r>
      <w:r w:rsidRPr="00873C1B">
        <w:t xml:space="preserve"> 2). </w:t>
      </w:r>
    </w:p>
    <w:p w14:paraId="791E6FCF" w14:textId="77777777" w:rsidR="00B80E1C" w:rsidRDefault="00B80E1C"/>
    <w:p w14:paraId="282C75D4" w14:textId="77777777" w:rsidR="00873C1B" w:rsidRDefault="00B80E1C">
      <w:r w:rsidRPr="00B80E1C">
        <w:rPr>
          <w:noProof/>
        </w:rPr>
        <w:drawing>
          <wp:inline distT="0" distB="0" distL="0" distR="0" wp14:anchorId="6306EAE6" wp14:editId="47F28F56">
            <wp:extent cx="5727700" cy="6043909"/>
            <wp:effectExtent l="0" t="0" r="6350" b="0"/>
            <wp:docPr id="1" name="Grafik 1" descr="C:\Users\tsdav\Downloads\Untitled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dav\Downloads\Untitled Diagr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04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2AB0E" w14:textId="77777777" w:rsidR="008A2131" w:rsidRDefault="008A2131"/>
    <w:p w14:paraId="77D07974" w14:textId="77777777" w:rsidR="008A2131" w:rsidRDefault="008A2131"/>
    <w:p w14:paraId="3C29598A" w14:textId="77777777" w:rsidR="008A2131" w:rsidRDefault="008A2131"/>
    <w:p w14:paraId="1C1A1CAC" w14:textId="77777777" w:rsidR="008A2131" w:rsidRDefault="008A2131"/>
    <w:p w14:paraId="6C195FD6" w14:textId="77777777" w:rsidR="008A2131" w:rsidRDefault="008A2131"/>
    <w:p w14:paraId="26924109" w14:textId="58CDFCA4" w:rsidR="008A2131" w:rsidRPr="007A4AE9" w:rsidRDefault="008A2131" w:rsidP="008A2131">
      <w:pPr>
        <w:spacing w:line="480" w:lineRule="auto"/>
        <w:rPr>
          <w:sz w:val="20"/>
          <w:szCs w:val="20"/>
        </w:rPr>
      </w:pPr>
      <w:r>
        <w:rPr>
          <w:i/>
        </w:rPr>
        <w:lastRenderedPageBreak/>
        <w:t>Supplementary</w:t>
      </w:r>
      <w:r w:rsidRPr="00E80700">
        <w:rPr>
          <w:i/>
        </w:rPr>
        <w:t xml:space="preserve"> </w:t>
      </w:r>
      <w:r>
        <w:rPr>
          <w:i/>
        </w:rPr>
        <w:t xml:space="preserve">Figure </w:t>
      </w:r>
      <w:r w:rsidR="00535C89">
        <w:rPr>
          <w:i/>
        </w:rPr>
        <w:t>2</w:t>
      </w:r>
      <w:bookmarkStart w:id="0" w:name="_GoBack"/>
      <w:bookmarkEnd w:id="0"/>
      <w:r w:rsidRPr="00E80700">
        <w:rPr>
          <w:i/>
        </w:rPr>
        <w:t>:</w:t>
      </w:r>
      <w:r w:rsidRPr="007A4AE9">
        <w:rPr>
          <w:sz w:val="20"/>
          <w:szCs w:val="20"/>
        </w:rPr>
        <w:t xml:space="preserve"> </w:t>
      </w:r>
      <w:r w:rsidRPr="007A4AE9">
        <w:t xml:space="preserve">Avatar-based monitoring compared to conventional patient monitoring: Median (with interquartile range) numbers of visual fixations for each vital sign, scenario, and technology. For example, participants in scenario 1 (3sec) with conventional patient monitoring had a median of 3 visual fixations recorded at a distance of 2 centimeters or less from a number or waveform corresponding to the vital sign pulse rate. In the same scenario with avatar-based monitoring the median number of visual fixations recorded at a distance of 2 centimeters or less of a surface of the avatar corresponding to pulse rate was 8. N for scenario 1 (3sec) was 12, for scenario 2 (10sec) 15, for scenarios 3 (3sec) 14 and for scenario 4 (10sec) 15. </w:t>
      </w:r>
    </w:p>
    <w:p w14:paraId="53D5BCC7" w14:textId="77777777" w:rsidR="008A2131" w:rsidRPr="007A4AE9" w:rsidRDefault="008A2131" w:rsidP="008A2131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146E711" wp14:editId="081B57D6">
            <wp:extent cx="5943600" cy="4319871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2_visual_fixation_per_vital_sign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0D07C" w14:textId="171AC111" w:rsidR="008A2131" w:rsidRDefault="008A2131" w:rsidP="008A2131">
      <w:pPr>
        <w:spacing w:line="240" w:lineRule="auto"/>
      </w:pPr>
      <w:r>
        <w:br w:type="page"/>
      </w:r>
    </w:p>
    <w:p w14:paraId="54C89074" w14:textId="5932BD9B" w:rsidR="008A2131" w:rsidRDefault="008A2131">
      <w:pPr>
        <w:sectPr w:rsidR="008A2131" w:rsidSect="00161218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2904B61A" w14:textId="7A785A7E" w:rsidR="00873C1B" w:rsidRPr="00873C1B" w:rsidRDefault="00873C1B" w:rsidP="00873C1B">
      <w:pPr>
        <w:contextualSpacing/>
      </w:pPr>
      <w:r>
        <w:rPr>
          <w:i/>
        </w:rPr>
        <w:lastRenderedPageBreak/>
        <w:t>Supplementary</w:t>
      </w:r>
      <w:r w:rsidRPr="00E80700">
        <w:rPr>
          <w:i/>
        </w:rPr>
        <w:t xml:space="preserve"> </w:t>
      </w:r>
      <w:r>
        <w:rPr>
          <w:i/>
        </w:rPr>
        <w:t>Table 1</w:t>
      </w:r>
      <w:r w:rsidRPr="00E80700">
        <w:rPr>
          <w:i/>
        </w:rPr>
        <w:t>:</w:t>
      </w:r>
      <w:r w:rsidRPr="007A4AE9">
        <w:rPr>
          <w:sz w:val="20"/>
          <w:szCs w:val="20"/>
        </w:rPr>
        <w:t xml:space="preserve"> </w:t>
      </w:r>
      <w:bookmarkStart w:id="1" w:name="_Hlk487987495"/>
      <w:r w:rsidRPr="00873C1B">
        <w:t xml:space="preserve">The </w:t>
      </w:r>
      <w:proofErr w:type="spellStart"/>
      <w:r w:rsidRPr="00873C1B">
        <w:t>visualisation</w:t>
      </w:r>
      <w:r>
        <w:t>s</w:t>
      </w:r>
      <w:proofErr w:type="spellEnd"/>
      <w:r>
        <w:t xml:space="preserve"> </w:t>
      </w:r>
      <w:r w:rsidRPr="00873C1B">
        <w:t>and numerical values displayed in the four scenarios.</w:t>
      </w:r>
    </w:p>
    <w:p w14:paraId="34CAC2C3" w14:textId="77777777" w:rsidR="00873C1B" w:rsidRPr="00873C1B" w:rsidRDefault="00873C1B" w:rsidP="00873C1B">
      <w:pPr>
        <w:contextualSpacing/>
      </w:pPr>
      <w:r w:rsidRPr="00873C1B">
        <w:t>MmHg=</w:t>
      </w:r>
      <w:proofErr w:type="spellStart"/>
      <w:r w:rsidRPr="00873C1B">
        <w:t>millimetres</w:t>
      </w:r>
      <w:proofErr w:type="spellEnd"/>
      <w:r w:rsidRPr="00873C1B">
        <w:t xml:space="preserve"> of mercury, ml=</w:t>
      </w:r>
      <w:proofErr w:type="spellStart"/>
      <w:r w:rsidRPr="00873C1B">
        <w:t>millilitre</w:t>
      </w:r>
      <w:proofErr w:type="spellEnd"/>
      <w:r w:rsidRPr="00873C1B">
        <w:t>, kPa=kilopascal. BIS=</w:t>
      </w:r>
      <w:proofErr w:type="spellStart"/>
      <w:r w:rsidRPr="00873C1B">
        <w:t>bispectral</w:t>
      </w:r>
      <w:proofErr w:type="spellEnd"/>
      <w:r w:rsidRPr="00873C1B">
        <w:t xml:space="preserve"> index system, SpO2=peripheral oxygen saturation, mV=millivolt, TOF=train of four.</w:t>
      </w:r>
    </w:p>
    <w:bookmarkEnd w:id="1"/>
    <w:p w14:paraId="54035A59" w14:textId="313332C9" w:rsidR="00873C1B" w:rsidRDefault="00873C1B"/>
    <w:tbl>
      <w:tblPr>
        <w:tblStyle w:val="Tabellenraster1"/>
        <w:tblpPr w:leftFromText="180" w:rightFromText="180" w:vertAnchor="text" w:horzAnchor="margin" w:tblpX="-147" w:tblpY="62"/>
        <w:tblW w:w="0" w:type="auto"/>
        <w:tblLook w:val="04A0" w:firstRow="1" w:lastRow="0" w:firstColumn="1" w:lastColumn="0" w:noHBand="0" w:noVBand="1"/>
      </w:tblPr>
      <w:tblGrid>
        <w:gridCol w:w="857"/>
        <w:gridCol w:w="1115"/>
        <w:gridCol w:w="1182"/>
        <w:gridCol w:w="1192"/>
        <w:gridCol w:w="1147"/>
        <w:gridCol w:w="1134"/>
        <w:gridCol w:w="1276"/>
        <w:gridCol w:w="1157"/>
        <w:gridCol w:w="1134"/>
        <w:gridCol w:w="1214"/>
        <w:gridCol w:w="1165"/>
        <w:gridCol w:w="1377"/>
      </w:tblGrid>
      <w:tr w:rsidR="00873C1B" w:rsidRPr="00251BDF" w14:paraId="4D5FAF51" w14:textId="77777777" w:rsidTr="00873C1B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39C9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AA4D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1. Pulse rate</w:t>
            </w:r>
          </w:p>
          <w:p w14:paraId="7722CC74" w14:textId="568EE1F4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77B1DAE" w14:textId="525A103B" w:rsidR="00873C1B" w:rsidRDefault="00873C1B" w:rsidP="00873C1B">
            <w:pPr>
              <w:contextualSpacing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42D8398" w14:textId="77777777" w:rsidR="00873C1B" w:rsidRDefault="00873C1B" w:rsidP="00873C1B">
            <w:pPr>
              <w:contextualSpacing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92E918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77B0D957" w14:textId="09AD2466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7671E00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3708C24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2FBD14A0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</w:p>
          <w:p w14:paraId="03CD05E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(min-1)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8D092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2. Arterial blood pressure</w:t>
            </w:r>
          </w:p>
          <w:p w14:paraId="5DA52A8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45E806D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8718C38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54E69333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CA9E97D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0D6F31B6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 (MAP) [mmHg]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DD2C9A9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 xml:space="preserve">3. Central </w:t>
            </w:r>
            <w:proofErr w:type="spellStart"/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>venous</w:t>
            </w:r>
            <w:proofErr w:type="spellEnd"/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 xml:space="preserve"> pressure</w:t>
            </w:r>
          </w:p>
          <w:p w14:paraId="1A8F6197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</w:p>
          <w:p w14:paraId="099FA7D0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>Visualisation</w:t>
            </w:r>
          </w:p>
          <w:p w14:paraId="4CF594C1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>condition</w:t>
            </w:r>
          </w:p>
          <w:p w14:paraId="045880D1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</w:p>
          <w:p w14:paraId="52527717" w14:textId="77777777" w:rsidR="00873C1B" w:rsidRPr="00E876F4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fr-FR"/>
              </w:rPr>
            </w:pPr>
            <w:proofErr w:type="spellStart"/>
            <w:r w:rsidRPr="00E876F4">
              <w:rPr>
                <w:rFonts w:ascii="Arial" w:eastAsiaTheme="minorHAnsi" w:hAnsi="Arial" w:cs="Arial"/>
                <w:sz w:val="16"/>
                <w:szCs w:val="16"/>
                <w:lang w:val="fr-FR"/>
              </w:rPr>
              <w:t>Numerical</w:t>
            </w:r>
            <w:proofErr w:type="spellEnd"/>
          </w:p>
          <w:p w14:paraId="40AF8ACB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</w:p>
          <w:p w14:paraId="296C54A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(mmHg)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BF777E2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 Respiratory rate</w:t>
            </w:r>
          </w:p>
          <w:p w14:paraId="1FBEF950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C6F2E3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04D61CD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43ADE3B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104DE90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32DAE4F3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(min-1)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28DFF52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5. Tidal volume</w:t>
            </w:r>
          </w:p>
          <w:p w14:paraId="6C889EE0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043F4C4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A11EF53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7D17211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7B5E26D4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604965D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590957A8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(mL)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74BB1F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6. Expiratory CO2 concentration</w:t>
            </w:r>
          </w:p>
          <w:p w14:paraId="573B6E1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DFBAD1F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B2D314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6FC8B21B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165A7E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33E7FB27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(kPa)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59AC8A8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7. Body temperature</w:t>
            </w:r>
          </w:p>
          <w:p w14:paraId="7E10B0ED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1607F2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DFB4CE4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3CC1B07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6D9C168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818391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745211B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(°C)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B7ECA2A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8. Brain activity</w:t>
            </w:r>
          </w:p>
          <w:p w14:paraId="1A1E6CB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C3DC947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95F7AF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2EFE1FB7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66138738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6376416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6607535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(BIS)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2143486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9. Peripheral oxygen saturation</w:t>
            </w:r>
          </w:p>
          <w:p w14:paraId="1C2FDA50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2D6FC89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3CA30CE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5633D55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D8D0E87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47731E4B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(%SpO2)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65E0781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10. ECG ST-Segment</w:t>
            </w:r>
          </w:p>
          <w:p w14:paraId="005294B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B1EFFF2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F4DE937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1AF8C66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54E0857B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46DA9A2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3E117F8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</w:p>
          <w:p w14:paraId="4056F394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(mv)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2CB46CF" w14:textId="77777777" w:rsidR="00873C1B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11. Neuromuscular relaxation</w:t>
            </w:r>
          </w:p>
          <w:p w14:paraId="2B686F6F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087AEF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04F478A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0C7859D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01C603C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5BA49551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</w:p>
          <w:p w14:paraId="5401351E" w14:textId="77777777" w:rsidR="00873C1B" w:rsidRPr="00CE129A" w:rsidRDefault="00873C1B" w:rsidP="00873C1B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(%TOF)</w:t>
            </w:r>
          </w:p>
        </w:tc>
      </w:tr>
      <w:tr w:rsidR="00873C1B" w:rsidRPr="00251BDF" w14:paraId="14D29F26" w14:textId="77777777" w:rsidTr="00873C1B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5941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1</w:t>
            </w:r>
          </w:p>
          <w:p w14:paraId="1E9EEBC8" w14:textId="0EE0E5BF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(3 sec)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1C81EC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0551072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08BC3E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69</w:t>
            </w:r>
          </w:p>
        </w:tc>
        <w:tc>
          <w:tcPr>
            <w:tcW w:w="0" w:type="auto"/>
            <w:vAlign w:val="center"/>
          </w:tcPr>
          <w:p w14:paraId="5CE8186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4EFC7E2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77FB4F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117/70 (86)</w:t>
            </w:r>
          </w:p>
        </w:tc>
        <w:tc>
          <w:tcPr>
            <w:tcW w:w="0" w:type="auto"/>
            <w:vAlign w:val="center"/>
          </w:tcPr>
          <w:p w14:paraId="094E670A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1FD38F0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223A3D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21</w:t>
            </w:r>
          </w:p>
        </w:tc>
        <w:tc>
          <w:tcPr>
            <w:tcW w:w="0" w:type="auto"/>
            <w:vAlign w:val="center"/>
          </w:tcPr>
          <w:p w14:paraId="7C5138D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2FE396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DEC8E7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15</w:t>
            </w:r>
          </w:p>
        </w:tc>
        <w:tc>
          <w:tcPr>
            <w:tcW w:w="0" w:type="auto"/>
            <w:vAlign w:val="center"/>
          </w:tcPr>
          <w:p w14:paraId="77223C9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77BC3F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21A142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543</w:t>
            </w:r>
          </w:p>
        </w:tc>
        <w:tc>
          <w:tcPr>
            <w:tcW w:w="0" w:type="auto"/>
            <w:vAlign w:val="center"/>
          </w:tcPr>
          <w:p w14:paraId="1D84F1C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03BC9D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0BBFF1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4.5</w:t>
            </w:r>
          </w:p>
        </w:tc>
        <w:tc>
          <w:tcPr>
            <w:tcW w:w="0" w:type="auto"/>
            <w:vAlign w:val="center"/>
          </w:tcPr>
          <w:p w14:paraId="273542F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4155AC2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EBA528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36.8</w:t>
            </w:r>
          </w:p>
        </w:tc>
        <w:tc>
          <w:tcPr>
            <w:tcW w:w="0" w:type="auto"/>
            <w:vAlign w:val="center"/>
          </w:tcPr>
          <w:p w14:paraId="1CFBB56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low</w:t>
            </w:r>
          </w:p>
          <w:p w14:paraId="7F6B973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D94446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24</w:t>
            </w:r>
          </w:p>
        </w:tc>
        <w:tc>
          <w:tcPr>
            <w:tcW w:w="0" w:type="auto"/>
            <w:vAlign w:val="center"/>
          </w:tcPr>
          <w:p w14:paraId="1C10611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3B6A2C2A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32D1B8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67%</w:t>
            </w:r>
          </w:p>
        </w:tc>
        <w:tc>
          <w:tcPr>
            <w:tcW w:w="0" w:type="auto"/>
            <w:vAlign w:val="center"/>
          </w:tcPr>
          <w:p w14:paraId="2486D75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63FF629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7763A1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0.1</w:t>
            </w:r>
          </w:p>
        </w:tc>
        <w:tc>
          <w:tcPr>
            <w:tcW w:w="0" w:type="auto"/>
            <w:vAlign w:val="center"/>
          </w:tcPr>
          <w:p w14:paraId="6D9F21C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no relaxation</w:t>
            </w:r>
          </w:p>
          <w:p w14:paraId="0CE09E1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01D084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100</w:t>
            </w:r>
          </w:p>
        </w:tc>
      </w:tr>
      <w:tr w:rsidR="00873C1B" w:rsidRPr="00251BDF" w14:paraId="2A6D8FD6" w14:textId="77777777" w:rsidTr="00873C1B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30401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2</w:t>
            </w:r>
          </w:p>
          <w:p w14:paraId="29183AB4" w14:textId="072D858E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(3 sec)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190DEA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4DB9E57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FA5B0D1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261</w:t>
            </w:r>
          </w:p>
        </w:tc>
        <w:tc>
          <w:tcPr>
            <w:tcW w:w="0" w:type="auto"/>
            <w:vAlign w:val="center"/>
          </w:tcPr>
          <w:p w14:paraId="427D3BE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970286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ECA80D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125/76 (92)</w:t>
            </w:r>
          </w:p>
        </w:tc>
        <w:tc>
          <w:tcPr>
            <w:tcW w:w="0" w:type="auto"/>
            <w:vAlign w:val="center"/>
          </w:tcPr>
          <w:p w14:paraId="79BE4D6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14ACBF0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228B85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F3400A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909B87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4F7B1F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0" w:type="auto"/>
            <w:vAlign w:val="center"/>
          </w:tcPr>
          <w:p w14:paraId="2D72EB5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2CBAE1D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877A7CA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410</w:t>
            </w:r>
          </w:p>
        </w:tc>
        <w:tc>
          <w:tcPr>
            <w:tcW w:w="0" w:type="auto"/>
            <w:vAlign w:val="center"/>
          </w:tcPr>
          <w:p w14:paraId="416CB551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0274C27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455012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9.3</w:t>
            </w:r>
          </w:p>
        </w:tc>
        <w:tc>
          <w:tcPr>
            <w:tcW w:w="0" w:type="auto"/>
            <w:vAlign w:val="center"/>
          </w:tcPr>
          <w:p w14:paraId="5C194E2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51D7B54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B52952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33.4</w:t>
            </w:r>
          </w:p>
        </w:tc>
        <w:tc>
          <w:tcPr>
            <w:tcW w:w="0" w:type="auto"/>
            <w:vAlign w:val="center"/>
          </w:tcPr>
          <w:p w14:paraId="0A31A92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high</w:t>
            </w:r>
          </w:p>
          <w:p w14:paraId="2E3313C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88ADEF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99</w:t>
            </w:r>
          </w:p>
        </w:tc>
        <w:tc>
          <w:tcPr>
            <w:tcW w:w="0" w:type="auto"/>
            <w:vAlign w:val="center"/>
          </w:tcPr>
          <w:p w14:paraId="02984E2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27FAC61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A8D783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77</w:t>
            </w:r>
          </w:p>
        </w:tc>
        <w:tc>
          <w:tcPr>
            <w:tcW w:w="0" w:type="auto"/>
            <w:vAlign w:val="center"/>
          </w:tcPr>
          <w:p w14:paraId="004967A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B1AB981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B4B4E0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0.1</w:t>
            </w:r>
          </w:p>
        </w:tc>
        <w:tc>
          <w:tcPr>
            <w:tcW w:w="0" w:type="auto"/>
            <w:vAlign w:val="center"/>
          </w:tcPr>
          <w:p w14:paraId="42FE15D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relaxed</w:t>
            </w:r>
          </w:p>
          <w:p w14:paraId="2898160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D928E6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26</w:t>
            </w:r>
          </w:p>
        </w:tc>
      </w:tr>
      <w:tr w:rsidR="00873C1B" w:rsidRPr="00251BDF" w14:paraId="1A8EB0CD" w14:textId="77777777" w:rsidTr="00873C1B">
        <w:trPr>
          <w:trHeight w:val="525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33C1C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3</w:t>
            </w:r>
          </w:p>
          <w:p w14:paraId="049EFD77" w14:textId="52238DEC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(10 sec)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26E7AD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436BAEA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517EBA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257</w:t>
            </w:r>
          </w:p>
        </w:tc>
        <w:tc>
          <w:tcPr>
            <w:tcW w:w="0" w:type="auto"/>
            <w:vAlign w:val="center"/>
          </w:tcPr>
          <w:p w14:paraId="51B814D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1E05997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7DE082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247/173 (197)</w:t>
            </w:r>
          </w:p>
        </w:tc>
        <w:tc>
          <w:tcPr>
            <w:tcW w:w="0" w:type="auto"/>
            <w:vAlign w:val="center"/>
          </w:tcPr>
          <w:p w14:paraId="7BEBC5C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F0EC4E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4A382B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5FDB83C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035BFB9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AD0429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0" w:type="auto"/>
            <w:vAlign w:val="center"/>
          </w:tcPr>
          <w:p w14:paraId="2298BB6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8596E8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9F2E9CA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552</w:t>
            </w:r>
          </w:p>
        </w:tc>
        <w:tc>
          <w:tcPr>
            <w:tcW w:w="0" w:type="auto"/>
            <w:vAlign w:val="center"/>
          </w:tcPr>
          <w:p w14:paraId="76FFF10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53CE831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488ED31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12.7</w:t>
            </w:r>
          </w:p>
        </w:tc>
        <w:tc>
          <w:tcPr>
            <w:tcW w:w="0" w:type="auto"/>
            <w:vAlign w:val="center"/>
          </w:tcPr>
          <w:p w14:paraId="04003BB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80040F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CC9EB6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37.2</w:t>
            </w:r>
          </w:p>
        </w:tc>
        <w:tc>
          <w:tcPr>
            <w:tcW w:w="0" w:type="auto"/>
            <w:vAlign w:val="center"/>
          </w:tcPr>
          <w:p w14:paraId="4958787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low</w:t>
            </w:r>
          </w:p>
          <w:p w14:paraId="6211D02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06B7C7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47</w:t>
            </w:r>
          </w:p>
        </w:tc>
        <w:tc>
          <w:tcPr>
            <w:tcW w:w="0" w:type="auto"/>
            <w:vAlign w:val="center"/>
          </w:tcPr>
          <w:p w14:paraId="1692338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01CF7D2A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00173C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74</w:t>
            </w:r>
          </w:p>
        </w:tc>
        <w:tc>
          <w:tcPr>
            <w:tcW w:w="0" w:type="auto"/>
            <w:vAlign w:val="center"/>
          </w:tcPr>
          <w:p w14:paraId="22C4342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abnormal</w:t>
            </w:r>
          </w:p>
          <w:p w14:paraId="5C117AE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5A40B3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-0.9</w:t>
            </w:r>
          </w:p>
        </w:tc>
        <w:tc>
          <w:tcPr>
            <w:tcW w:w="0" w:type="auto"/>
            <w:vAlign w:val="center"/>
          </w:tcPr>
          <w:p w14:paraId="214F120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relaxed</w:t>
            </w:r>
          </w:p>
          <w:p w14:paraId="7173503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FDA08C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</w:t>
            </w:r>
          </w:p>
        </w:tc>
      </w:tr>
      <w:tr w:rsidR="00873C1B" w:rsidRPr="00251BDF" w14:paraId="686AA0B4" w14:textId="77777777" w:rsidTr="00873C1B">
        <w:trPr>
          <w:trHeight w:val="341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21767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4</w:t>
            </w:r>
          </w:p>
          <w:p w14:paraId="71CADD2A" w14:textId="55F6DFA2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(10 sec)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E9392F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4E79C73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0DBD595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0" w:type="auto"/>
            <w:vAlign w:val="center"/>
          </w:tcPr>
          <w:p w14:paraId="7C9D77B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400779D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9DAAB7C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36/5 (14)</w:t>
            </w:r>
          </w:p>
        </w:tc>
        <w:tc>
          <w:tcPr>
            <w:tcW w:w="0" w:type="auto"/>
            <w:vAlign w:val="center"/>
          </w:tcPr>
          <w:p w14:paraId="54F1A79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5B702E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8F82B5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13A3A25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0798A9F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6BE57CF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</w:t>
            </w:r>
          </w:p>
        </w:tc>
        <w:tc>
          <w:tcPr>
            <w:tcW w:w="0" w:type="auto"/>
            <w:vAlign w:val="center"/>
          </w:tcPr>
          <w:p w14:paraId="4F3B4E3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31340EF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52EC6B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452</w:t>
            </w:r>
          </w:p>
        </w:tc>
        <w:tc>
          <w:tcPr>
            <w:tcW w:w="0" w:type="auto"/>
            <w:vAlign w:val="center"/>
          </w:tcPr>
          <w:p w14:paraId="5E89272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4EB0D000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02863F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4.4</w:t>
            </w:r>
          </w:p>
        </w:tc>
        <w:tc>
          <w:tcPr>
            <w:tcW w:w="0" w:type="auto"/>
            <w:vAlign w:val="center"/>
          </w:tcPr>
          <w:p w14:paraId="5890F8D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4CA81E36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89BD4F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41.4</w:t>
            </w:r>
          </w:p>
        </w:tc>
        <w:tc>
          <w:tcPr>
            <w:tcW w:w="0" w:type="auto"/>
            <w:vAlign w:val="center"/>
          </w:tcPr>
          <w:p w14:paraId="3D46997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high</w:t>
            </w:r>
          </w:p>
          <w:p w14:paraId="5879725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6248232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96</w:t>
            </w:r>
          </w:p>
        </w:tc>
        <w:tc>
          <w:tcPr>
            <w:tcW w:w="0" w:type="auto"/>
            <w:vAlign w:val="center"/>
          </w:tcPr>
          <w:p w14:paraId="01A3850B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933B868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0365D93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96</w:t>
            </w:r>
          </w:p>
        </w:tc>
        <w:tc>
          <w:tcPr>
            <w:tcW w:w="0" w:type="auto"/>
            <w:vAlign w:val="center"/>
          </w:tcPr>
          <w:p w14:paraId="50B0B61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264609C4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7F15847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0.0</w:t>
            </w:r>
          </w:p>
        </w:tc>
        <w:tc>
          <w:tcPr>
            <w:tcW w:w="0" w:type="auto"/>
            <w:vAlign w:val="center"/>
          </w:tcPr>
          <w:p w14:paraId="30D47ED9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no relaxation</w:t>
            </w:r>
          </w:p>
          <w:p w14:paraId="6313299D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130639E" w14:textId="77777777" w:rsidR="00873C1B" w:rsidRPr="00CE129A" w:rsidRDefault="00873C1B" w:rsidP="00494D7E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94</w:t>
            </w:r>
          </w:p>
        </w:tc>
      </w:tr>
    </w:tbl>
    <w:p w14:paraId="14301C7E" w14:textId="77777777" w:rsidR="00873C1B" w:rsidRDefault="00873C1B"/>
    <w:sectPr w:rsidR="00873C1B" w:rsidSect="00873C1B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F59E3" w14:textId="77777777" w:rsidR="00BA19A5" w:rsidRDefault="00BA19A5" w:rsidP="00873C1B">
      <w:pPr>
        <w:spacing w:line="240" w:lineRule="auto"/>
      </w:pPr>
      <w:r>
        <w:separator/>
      </w:r>
    </w:p>
  </w:endnote>
  <w:endnote w:type="continuationSeparator" w:id="0">
    <w:p w14:paraId="77BB9C25" w14:textId="77777777" w:rsidR="00BA19A5" w:rsidRDefault="00BA19A5" w:rsidP="00873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76CC4" w14:textId="77777777" w:rsidR="00BA19A5" w:rsidRDefault="00BA19A5" w:rsidP="00873C1B">
      <w:pPr>
        <w:spacing w:line="240" w:lineRule="auto"/>
      </w:pPr>
      <w:r>
        <w:separator/>
      </w:r>
    </w:p>
  </w:footnote>
  <w:footnote w:type="continuationSeparator" w:id="0">
    <w:p w14:paraId="196088A7" w14:textId="77777777" w:rsidR="00BA19A5" w:rsidRDefault="00BA19A5" w:rsidP="00873C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91"/>
    <w:rsid w:val="00161218"/>
    <w:rsid w:val="004D6995"/>
    <w:rsid w:val="00535C89"/>
    <w:rsid w:val="00873C1B"/>
    <w:rsid w:val="008A2131"/>
    <w:rsid w:val="008D5710"/>
    <w:rsid w:val="008F2B3A"/>
    <w:rsid w:val="00AF4B86"/>
    <w:rsid w:val="00B80E1C"/>
    <w:rsid w:val="00B932F6"/>
    <w:rsid w:val="00BA19A5"/>
    <w:rsid w:val="00D23991"/>
    <w:rsid w:val="00E876F4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5C57"/>
  <w15:chartTrackingRefBased/>
  <w15:docId w15:val="{97F8AE5D-FB34-9C48-B6BB-C4E7C9A0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991"/>
    <w:pPr>
      <w:spacing w:line="36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399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991"/>
    <w:pPr>
      <w:pBdr>
        <w:top w:val="nil"/>
        <w:left w:val="nil"/>
        <w:bottom w:val="nil"/>
        <w:right w:val="nil"/>
        <w:between w:val="nil"/>
        <w:bar w:val="nil"/>
      </w:pBdr>
      <w:spacing w:after="160" w:line="480" w:lineRule="auto"/>
      <w:jc w:val="both"/>
    </w:pPr>
    <w:rPr>
      <w:rFonts w:ascii="Calibri" w:eastAsia="Calibri" w:hAnsi="Calibri" w:cs="Calibri"/>
      <w:color w:val="002060"/>
      <w:u w:color="002060"/>
      <w:bdr w:val="nil"/>
      <w:lang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991"/>
    <w:rPr>
      <w:rFonts w:ascii="Calibri" w:eastAsia="Calibri" w:hAnsi="Calibri" w:cs="Calibri"/>
      <w:color w:val="002060"/>
      <w:u w:color="002060"/>
      <w:bdr w:val="nil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991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991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3C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C1B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73C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C1B"/>
    <w:rPr>
      <w:rFonts w:ascii="Times New Roman" w:hAnsi="Times New Roman" w:cs="Times New Roman"/>
    </w:rPr>
  </w:style>
  <w:style w:type="table" w:customStyle="1" w:styleId="Tabellenraster1">
    <w:name w:val="Tabellenraster1"/>
    <w:basedOn w:val="TableNormal"/>
    <w:next w:val="TableGrid"/>
    <w:uiPriority w:val="59"/>
    <w:rsid w:val="00873C1B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73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tscholl</dc:creator>
  <cp:keywords/>
  <dc:description/>
  <cp:lastModifiedBy>david tscholl</cp:lastModifiedBy>
  <cp:revision>4</cp:revision>
  <dcterms:created xsi:type="dcterms:W3CDTF">2019-11-14T00:37:00Z</dcterms:created>
  <dcterms:modified xsi:type="dcterms:W3CDTF">2019-11-14T15:33:00Z</dcterms:modified>
</cp:coreProperties>
</file>